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POWER EXPERT INDIA</w:t>
      </w:r>
    </w:p>
    <w:p>
      <w:pPr>
        <w:pStyle w:val="Title"/>
        <w:jc w:val="center"/>
      </w:pPr>
      <w:r>
        <w:t>Bihar API Client Handover Pack</w:t>
      </w:r>
    </w:p>
    <w:p>
      <w:pPr>
        <w:jc w:val="center"/>
      </w:pPr>
      <w:r>
        <w:rPr>
          <w:b/>
          <w:sz w:val="22"/>
        </w:rPr>
        <w:t>V2.0.0  |  Production Pilot Handover</w:t>
      </w:r>
    </w:p>
    <w:p>
      <w:pPr>
        <w:jc w:val="center"/>
      </w:pPr>
      <w:r>
        <w:t>PEI Verified Tariff API V1.2.0 • Bihar FY 2026-27 • Release BR-2026-27-VERIFIED-STRICT-BASE-V1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EAF2F8"/>
            <w:vAlign w:val="center"/>
          </w:tcPr>
          <w:p>
            <w:r/>
            <w:r>
              <w:rPr>
                <w:b/>
                <w:sz w:val="17"/>
              </w:rPr>
              <w:t>Supported subcategories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7"/>
              </w:rPr>
              <w:t>32</w:t>
            </w:r>
          </w:p>
        </w:tc>
      </w:tr>
      <w:tr>
        <w:tc>
          <w:tcPr>
            <w:tcW w:type="dxa" w:w="5112"/>
            <w:shd w:fill="EAF2F8"/>
            <w:vAlign w:val="center"/>
          </w:tcPr>
          <w:p>
            <w:r/>
            <w:r>
              <w:rPr>
                <w:b/>
                <w:sz w:val="17"/>
              </w:rPr>
              <w:t>Verified tariff rows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7"/>
              </w:rPr>
              <w:t>34</w:t>
            </w:r>
          </w:p>
        </w:tc>
      </w:tr>
      <w:tr>
        <w:tc>
          <w:tcPr>
            <w:tcW w:type="dxa" w:w="5112"/>
            <w:shd w:fill="EAF2F8"/>
            <w:vAlign w:val="center"/>
          </w:tcPr>
          <w:p>
            <w:r/>
            <w:r>
              <w:rPr>
                <w:b/>
                <w:sz w:val="17"/>
              </w:rPr>
              <w:t>Frozen calculation regression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7"/>
              </w:rPr>
              <w:t>45/45 PASS</w:t>
            </w:r>
          </w:p>
        </w:tc>
      </w:tr>
      <w:tr>
        <w:tc>
          <w:tcPr>
            <w:tcW w:type="dxa" w:w="5112"/>
            <w:shd w:fill="EAF2F8"/>
            <w:vAlign w:val="center"/>
          </w:tcPr>
          <w:p>
            <w:r/>
            <w:r>
              <w:rPr>
                <w:b/>
                <w:sz w:val="17"/>
              </w:rPr>
              <w:t>Documented API paths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7"/>
              </w:rPr>
              <w:t>11</w:t>
            </w:r>
          </w:p>
        </w:tc>
      </w:tr>
      <w:tr>
        <w:tc>
          <w:tcPr>
            <w:tcW w:type="dxa" w:w="5112"/>
            <w:shd w:fill="EAF2F8"/>
            <w:vAlign w:val="center"/>
          </w:tcPr>
          <w:p>
            <w:r/>
            <w:r>
              <w:rPr>
                <w:b/>
                <w:sz w:val="17"/>
              </w:rPr>
              <w:t>Current controller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b w:val="0"/>
                <w:sz w:val="17"/>
              </w:rPr>
              <w:t>V2.2.14</w:t>
            </w:r>
          </w:p>
        </w:tc>
      </w:tr>
    </w:tbl>
    <w:p/>
    <w:p>
      <w:pPr>
        <w:jc w:val="center"/>
      </w:pPr>
      <w:r>
        <w:rPr>
          <w:b/>
        </w:rPr>
        <w:t>Use this pack for a controlled B2B pilot. It is not a claim of an exact current utility bill.</w:t>
      </w:r>
    </w:p>
    <w:p>
      <w:r>
        <w:br w:type="page"/>
      </w:r>
    </w:p>
    <w:p>
      <w:pPr>
        <w:pStyle w:val="Heading1"/>
      </w:pPr>
      <w:r>
        <w:t>1. Product position and current contract</w:t>
      </w:r>
    </w:p>
    <w:p>
      <w:r>
        <w:t>Power Expert India provides a verified Bihar electricity tariff API for applications that need deterministic tariff calculations, source traceability and controlled production access.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D9EAF7"/>
          </w:tcPr>
          <w:p>
            <w:r/>
            <w:r>
              <w:rPr>
                <w:b/>
                <w:sz w:val="17"/>
              </w:rPr>
              <w:t>What the client can rely on</w:t>
            </w:r>
          </w:p>
        </w:tc>
        <w:tc>
          <w:tcPr>
            <w:tcW w:type="dxa" w:w="5112"/>
            <w:shd w:fill="FBE9E7"/>
          </w:tcPr>
          <w:p>
            <w:r/>
            <w:r>
              <w:rPr>
                <w:b/>
                <w:sz w:val="17"/>
              </w:rPr>
              <w:t>Current boundary</w:t>
            </w:r>
          </w:p>
        </w:tc>
      </w:tr>
      <w:tr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Verified Bihar base-tariff calculations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Exact current utility bill is not claimed</w:t>
            </w:r>
          </w:p>
        </w:tc>
      </w:tr>
      <w:tr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32 supported subcategories / 34 verified rows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Electricity duty monetary rate remains fail-closed pending source-lock</w:t>
            </w:r>
          </w:p>
        </w:tc>
      </w:tr>
      <w:tr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Verified monetary subsidy core for supported domestic cases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Consumer meter rent is not silently assumed to be zero</w:t>
            </w:r>
          </w:p>
        </w:tc>
      </w:tr>
      <w:tr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Approved exact-month FPPAS may be applied when eligibility conditions match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Payment-context rebates remain context-dependent</w:t>
            </w:r>
          </w:p>
        </w:tc>
      </w:tr>
      <w:tr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final_payable composition with explicit blockers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Unresolved components remain explicit in the response</w:t>
            </w:r>
          </w:p>
        </w:tc>
      </w:tr>
      <w:tr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Source-traceable, versioned release contract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No historical FPPAS fallback is used as a current rate</w:t>
            </w:r>
          </w:p>
        </w:tc>
      </w:tr>
    </w:tbl>
    <w:p/>
    <w:p>
      <w:r>
        <w:rPr>
          <w:b/>
        </w:rPr>
        <w:t xml:space="preserve">Client-facing rule: </w:t>
      </w:r>
      <w:r>
        <w:t>Treat final_payable.estimated_payable_paise as an estimate whenever final_payable.payable_complete is false.</w:t>
      </w:r>
    </w:p>
    <w:p>
      <w:pPr>
        <w:pStyle w:val="Heading1"/>
      </w:pPr>
      <w:r>
        <w:t>2. Access and authentication</w:t>
      </w:r>
    </w:p>
    <w:p>
      <w:r>
        <w:t>Production requests use HTTPS and a dedicated API key. The key must be sent in a header; never place it in a URL, screenshot, client-side bundle or public repository.</w:t>
      </w:r>
    </w:p>
    <w:p>
      <w:pPr>
        <w:pStyle w:val="Code"/>
        <w:keepLines/>
      </w:pPr>
      <w:r>
        <w:rPr>
          <w:rFonts w:ascii="Liberation Mono" w:hAnsi="Liberation Mono"/>
          <w:sz w:val="16"/>
        </w:rPr>
        <w:t>X-API-Key: YOUR_API_KEY</w:t>
        <w:br/>
        <w:br/>
        <w:t># Alternative</w:t>
        <w:br/>
        <w:t>Authorization: Bearer YOUR_API_KEY</w:t>
      </w:r>
    </w:p>
    <w:p>
      <w:r>
        <w:t>Default production profile: 60 requests/minute per key, with a 20-request burst allowance within 10 seconds. The assigned plan may override these defaults.</w:t>
      </w:r>
    </w:p>
    <w:p>
      <w:pPr>
        <w:pStyle w:val="Heading1"/>
      </w:pPr>
      <w:r>
        <w:t>3. API route map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shd w:fill="D9EAF7"/>
          </w:tcPr>
          <w:p>
            <w:r/>
            <w:r>
              <w:rPr>
                <w:b/>
                <w:sz w:val="17"/>
              </w:rPr>
              <w:t>Route</w:t>
            </w:r>
          </w:p>
        </w:tc>
        <w:tc>
          <w:tcPr>
            <w:tcW w:type="dxa" w:w="2556"/>
            <w:shd w:fill="D9EAF7"/>
          </w:tcPr>
          <w:p>
            <w:r/>
            <w:r>
              <w:rPr>
                <w:b/>
                <w:sz w:val="17"/>
              </w:rPr>
              <w:t>Method</w:t>
            </w:r>
          </w:p>
        </w:tc>
        <w:tc>
          <w:tcPr>
            <w:tcW w:type="dxa" w:w="2556"/>
            <w:shd w:fill="D9EAF7"/>
          </w:tcPr>
          <w:p>
            <w:r/>
            <w:r>
              <w:rPr>
                <w:b/>
                <w:sz w:val="17"/>
              </w:rPr>
              <w:t>Scope</w:t>
            </w:r>
          </w:p>
        </w:tc>
        <w:tc>
          <w:tcPr>
            <w:tcW w:type="dxa" w:w="2556"/>
            <w:shd w:fill="D9EAF7"/>
          </w:tcPr>
          <w:p>
            <w:r/>
            <w:r>
              <w:rPr>
                <w:b/>
                <w:sz w:val="17"/>
              </w:rPr>
              <w:t>Purpose</w:t>
            </w:r>
          </w:p>
        </w:tc>
      </w:tr>
      <w:tr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/health</w:t>
            </w:r>
          </w:p>
        </w:tc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GET</w:t>
            </w:r>
          </w:p>
        </w:tc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health:read</w:t>
            </w:r>
          </w:p>
        </w:tc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Service and release health</w:t>
            </w:r>
          </w:p>
        </w:tc>
      </w:tr>
      <w:tr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/capabilities</w:t>
            </w:r>
          </w:p>
        </w:tc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GET</w:t>
            </w:r>
          </w:p>
        </w:tc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health:read</w:t>
            </w:r>
          </w:p>
        </w:tc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State-aware enabled and blocked features</w:t>
            </w:r>
          </w:p>
        </w:tc>
      </w:tr>
      <w:tr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/states</w:t>
            </w:r>
          </w:p>
        </w:tc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GET</w:t>
            </w:r>
          </w:p>
        </w:tc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states:read</w:t>
            </w:r>
          </w:p>
        </w:tc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Released states</w:t>
            </w:r>
          </w:p>
        </w:tc>
      </w:tr>
      <w:tr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/categories</w:t>
            </w:r>
          </w:p>
        </w:tc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GET</w:t>
            </w:r>
          </w:p>
        </w:tc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categories:read</w:t>
            </w:r>
          </w:p>
        </w:tc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Verified categories and required inputs</w:t>
            </w:r>
          </w:p>
        </w:tc>
      </w:tr>
      <w:tr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/tariffs</w:t>
            </w:r>
          </w:p>
        </w:tc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GET</w:t>
            </w:r>
          </w:p>
        </w:tc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tariffs:read</w:t>
            </w:r>
          </w:p>
        </w:tc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Verified tariff schedule rows</w:t>
            </w:r>
          </w:p>
        </w:tc>
      </w:tr>
      <w:tr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/subsidy-entitlement</w:t>
            </w:r>
          </w:p>
        </w:tc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GET</w:t>
            </w:r>
          </w:p>
        </w:tc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tariffs:read</w:t>
            </w:r>
          </w:p>
        </w:tc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Bihar domestic entitlement contract</w:t>
            </w:r>
          </w:p>
        </w:tc>
      </w:tr>
      <w:tr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/fppas-periods</w:t>
            </w:r>
          </w:p>
        </w:tc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GET</w:t>
            </w:r>
          </w:p>
        </w:tc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tariffs:read</w:t>
            </w:r>
          </w:p>
        </w:tc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Verified FPPAS period evidence</w:t>
            </w:r>
          </w:p>
        </w:tc>
      </w:tr>
      <w:tr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/sources</w:t>
            </w:r>
          </w:p>
        </w:tc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GET</w:t>
            </w:r>
          </w:p>
        </w:tc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sources:read</w:t>
            </w:r>
          </w:p>
        </w:tc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Public source traceability</w:t>
            </w:r>
          </w:p>
        </w:tc>
      </w:tr>
      <w:tr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/calculate</w:t>
            </w:r>
          </w:p>
        </w:tc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POST</w:t>
            </w:r>
          </w:p>
        </w:tc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calculate:write</w:t>
            </w:r>
          </w:p>
        </w:tc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Verified tariff + payable composition</w:t>
            </w:r>
          </w:p>
        </w:tc>
      </w:tr>
      <w:tr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/solar-savings</w:t>
            </w:r>
          </w:p>
        </w:tc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POST</w:t>
            </w:r>
          </w:p>
        </w:tc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calculate:write</w:t>
            </w:r>
          </w:p>
        </w:tc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Bihar domestic before/after solar base-tariff comparison</w:t>
            </w:r>
          </w:p>
        </w:tc>
      </w:tr>
      <w:tr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/category-resolver</w:t>
            </w:r>
          </w:p>
        </w:tc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POST</w:t>
            </w:r>
          </w:p>
        </w:tc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calculate:write</w:t>
            </w:r>
          </w:p>
        </w:tc>
        <w:tc>
          <w:tcPr>
            <w:tcW w:type="dxa" w:w="2556"/>
          </w:tcPr>
          <w:p>
            <w:r/>
            <w:r>
              <w:rPr>
                <w:b w:val="0"/>
                <w:sz w:val="17"/>
              </w:rPr>
              <w:t>Resolve caller-declared Bihar domestic class</w:t>
            </w:r>
          </w:p>
        </w:tc>
      </w:tr>
    </w:tbl>
    <w:p>
      <w:r>
        <w:br w:type="page"/>
      </w:r>
    </w:p>
    <w:p>
      <w:pPr>
        <w:pStyle w:val="Heading1"/>
      </w:pPr>
      <w:r>
        <w:t>4. Quick start — 4 requests</w:t>
      </w:r>
    </w:p>
    <w:p>
      <w:pPr>
        <w:pStyle w:val="Heading2"/>
      </w:pPr>
      <w:r>
        <w:t>A. Health</w:t>
      </w:r>
    </w:p>
    <w:p>
      <w:pPr>
        <w:pStyle w:val="Code"/>
        <w:keepLines/>
      </w:pPr>
      <w:r>
        <w:rPr>
          <w:rFonts w:ascii="Liberation Mono" w:hAnsi="Liberation Mono"/>
          <w:sz w:val="16"/>
        </w:rPr>
        <w:t>curl -sS \</w:t>
        <w:br/>
        <w:t xml:space="preserve">  -H "X-API-Key: YOUR_API_KEY" \</w:t>
        <w:br/>
        <w:t xml:space="preserve">  "https://powerexpertindia.com/v1/health" </w:t>
      </w:r>
    </w:p>
    <w:p>
      <w:pPr>
        <w:pStyle w:val="Heading2"/>
      </w:pPr>
      <w:r>
        <w:t>B. Categories</w:t>
      </w:r>
    </w:p>
    <w:p>
      <w:pPr>
        <w:pStyle w:val="Code"/>
        <w:keepLines/>
      </w:pPr>
      <w:r>
        <w:rPr>
          <w:rFonts w:ascii="Liberation Mono" w:hAnsi="Liberation Mono"/>
          <w:sz w:val="16"/>
        </w:rPr>
        <w:t>curl -sS \</w:t>
        <w:br/>
        <w:t xml:space="preserve">  -H "X-API-Key: YOUR_API_KEY" \</w:t>
        <w:br/>
        <w:t xml:space="preserve">  "https://powerexpertindia.com/v1/categories?state_code=BR" </w:t>
      </w:r>
    </w:p>
    <w:p>
      <w:pPr>
        <w:pStyle w:val="Heading2"/>
      </w:pPr>
      <w:r>
        <w:t>C. Bihar domestic calculation</w:t>
      </w:r>
    </w:p>
    <w:p>
      <w:pPr>
        <w:pStyle w:val="Code"/>
        <w:keepLines/>
      </w:pPr>
      <w:r>
        <w:rPr>
          <w:rFonts w:ascii="Liberation Mono" w:hAnsi="Liberation Mono"/>
          <w:sz w:val="16"/>
        </w:rPr>
        <w:t>curl -sS \</w:t>
        <w:br/>
        <w:t xml:space="preserve">  -X POST \</w:t>
        <w:br/>
        <w:t xml:space="preserve">  -H "Content-Type: application/json" \</w:t>
        <w:br/>
        <w:t xml:space="preserve">  -H "X-API-Key: YOUR_API_KEY" \</w:t>
        <w:br/>
        <w:t xml:space="preserve">  -d '{</w:t>
        <w:br/>
        <w:t xml:space="preserve">    "state_code":"BR",</w:t>
        <w:br/>
        <w:t xml:space="preserve">    "subcategory_code":"BR_DS_II",</w:t>
        <w:br/>
        <w:t xml:space="preserve">    "energy_units":126,</w:t>
        <w:br/>
        <w:t xml:space="preserve">    "connected_load":"1",</w:t>
        <w:br/>
        <w:t xml:space="preserve">    "billing_days":30,</w:t>
        <w:br/>
        <w:t xml:space="preserve">    "verification_tier":"verified_strict",</w:t>
        <w:br/>
        <w:t xml:space="preserve">    "release_id":"BR-2026-27-VERIFIED-STRICT-BASE-V1"</w:t>
        <w:br/>
        <w:t xml:space="preserve">  }' \</w:t>
        <w:br/>
        <w:t xml:space="preserve">  "https://powerexpertindia.com/v1/calculate" </w:t>
      </w:r>
    </w:p>
    <w:p>
      <w:pPr>
        <w:pStyle w:val="Heading2"/>
      </w:pPr>
      <w:r>
        <w:t>D. Solar comparison</w:t>
      </w:r>
    </w:p>
    <w:p>
      <w:pPr>
        <w:pStyle w:val="Code"/>
        <w:keepLines/>
      </w:pPr>
      <w:r>
        <w:rPr>
          <w:rFonts w:ascii="Liberation Mono" w:hAnsi="Liberation Mono"/>
          <w:sz w:val="16"/>
        </w:rPr>
        <w:t>curl -sS \</w:t>
        <w:br/>
        <w:t xml:space="preserve">  -X POST \</w:t>
        <w:br/>
        <w:t xml:space="preserve">  -H "Content-Type: application/json" \</w:t>
        <w:br/>
        <w:t xml:space="preserve">  -H "X-API-Key: YOUR_API_KEY" \</w:t>
        <w:br/>
        <w:t xml:space="preserve">  -d '{</w:t>
        <w:br/>
        <w:t xml:space="preserve">    "state_code":"BR",</w:t>
        <w:br/>
        <w:t xml:space="preserve">    "subcategory_code":"BR_DS_II",</w:t>
        <w:br/>
        <w:t xml:space="preserve">    "connected_load":"2",</w:t>
        <w:br/>
        <w:t xml:space="preserve">    "load_unit":"kw",</w:t>
        <w:br/>
        <w:t xml:space="preserve">    "existing_monthly_units":450,</w:t>
        <w:br/>
        <w:t xml:space="preserve">    "post_solar_import_units":150,</w:t>
        <w:br/>
        <w:t xml:space="preserve">    "release_id":"BR-2026-27-VERIFIED-STRICT-BASE-V1",</w:t>
        <w:br/>
        <w:t xml:space="preserve">    "verification_tier":"verified_strict"</w:t>
        <w:br/>
        <w:t xml:space="preserve">  }' \</w:t>
        <w:br/>
        <w:t xml:space="preserve">  "https://powerexpertindia.com/v1/solar-savings" </w:t>
      </w:r>
    </w:p>
    <w:p>
      <w:pPr>
        <w:pStyle w:val="Heading1"/>
      </w:pPr>
      <w:r>
        <w:t>5. Response fields your integration should read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D9EAF7"/>
          </w:tcPr>
          <w:p>
            <w:r/>
            <w:r>
              <w:rPr>
                <w:b/>
                <w:sz w:val="17"/>
              </w:rPr>
              <w:t>Field</w:t>
            </w:r>
          </w:p>
        </w:tc>
        <w:tc>
          <w:tcPr>
            <w:tcW w:type="dxa" w:w="5112"/>
            <w:shd w:fill="D9EAF7"/>
          </w:tcPr>
          <w:p>
            <w:r/>
            <w:r>
              <w:rPr>
                <w:b/>
                <w:sz w:val="17"/>
              </w:rPr>
              <w:t>Integration meaning</w:t>
            </w:r>
          </w:p>
        </w:tc>
      </w:tr>
      <w:tr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status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Request success/error status</w:t>
            </w:r>
          </w:p>
        </w:tc>
      </w:tr>
      <w:tr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request_id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Trace ID for support and audit</w:t>
            </w:r>
          </w:p>
        </w:tc>
      </w:tr>
      <w:tr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data.state_code / subcategory_code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Resolved Bihar tariff identity</w:t>
            </w:r>
          </w:p>
        </w:tc>
      </w:tr>
      <w:tr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data.verification_tier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Expected: verified_strict</w:t>
            </w:r>
          </w:p>
        </w:tc>
      </w:tr>
      <w:tr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data.final_payable.contract_version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Expected contract: br.payable_composition.v1</w:t>
            </w:r>
          </w:p>
        </w:tc>
      </w:tr>
      <w:tr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data.final_payable.estimated_payable_paise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Current verified payable estimate</w:t>
            </w:r>
          </w:p>
        </w:tc>
      </w:tr>
      <w:tr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data.final_payable.payable_complete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False while blocking components remain</w:t>
            </w:r>
          </w:p>
        </w:tc>
      </w:tr>
      <w:tr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data.final_payable.exact_current_net_bill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False in the current Bihar contract</w:t>
            </w:r>
          </w:p>
        </w:tc>
      </w:tr>
      <w:tr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data.final_payable.blocking_components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Explicit blockers to exact-current-net-bill status</w:t>
            </w:r>
          </w:p>
        </w:tc>
      </w:tr>
      <w:tr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data.electricity_duty.status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Current statutory-duty resolution status</w:t>
            </w:r>
          </w:p>
        </w:tc>
      </w:tr>
      <w:tr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data.ancillary_charges.meter_rent.status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Consumer meter-rent resolution status</w:t>
            </w:r>
          </w:p>
        </w:tc>
      </w:tr>
    </w:tbl>
    <w:p>
      <w:pPr>
        <w:pStyle w:val="Heading1"/>
      </w:pPr>
      <w:r>
        <w:t>6. Error handling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D9EAF7"/>
          </w:tcPr>
          <w:p>
            <w:r/>
            <w:r>
              <w:rPr>
                <w:b/>
                <w:sz w:val="17"/>
              </w:rPr>
              <w:t>HTTP</w:t>
            </w:r>
          </w:p>
        </w:tc>
        <w:tc>
          <w:tcPr>
            <w:tcW w:type="dxa" w:w="5112"/>
            <w:shd w:fill="D9EAF7"/>
          </w:tcPr>
          <w:p>
            <w:r/>
            <w:r>
              <w:rPr>
                <w:b/>
                <w:sz w:val="17"/>
              </w:rPr>
              <w:t>Client action</w:t>
            </w:r>
          </w:p>
        </w:tc>
      </w:tr>
      <w:tr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401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Missing/invalid API key</w:t>
            </w:r>
          </w:p>
        </w:tc>
      </w:tr>
      <w:tr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403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Scope, state or origin not allowed</w:t>
            </w:r>
          </w:p>
        </w:tc>
      </w:tr>
      <w:tr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409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Release/category classification conflict where applicable</w:t>
            </w:r>
          </w:p>
        </w:tc>
      </w:tr>
      <w:tr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422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Request validation or unsupported verified input</w:t>
            </w:r>
          </w:p>
        </w:tc>
      </w:tr>
      <w:tr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429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Rate/burst/quota limit; respect Retry-After</w:t>
            </w:r>
          </w:p>
        </w:tc>
      </w:tr>
      <w:tr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503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Required verified runtime/release evidence unavailable</w:t>
            </w:r>
          </w:p>
        </w:tc>
      </w:tr>
    </w:tbl>
    <w:p>
      <w:pPr>
        <w:pStyle w:val="Heading1"/>
      </w:pPr>
      <w:r>
        <w:t>7. Pilot onboarding checklist</w:t>
      </w:r>
    </w:p>
    <w:p>
      <w:pPr>
        <w:pStyle w:val="ListBullet"/>
      </w:pPr>
      <w:r>
        <w:t>Client use case and Bihar scope confirmed.</w:t>
      </w:r>
    </w:p>
    <w:p>
      <w:pPr>
        <w:pStyle w:val="ListBullet"/>
      </w:pPr>
      <w:r>
        <w:t>Technical contact and server-side integration owner identified.</w:t>
      </w:r>
    </w:p>
    <w:p>
      <w:pPr>
        <w:pStyle w:val="ListBullet"/>
      </w:pPr>
      <w:r>
        <w:t>Required scopes confirmed (least privilege).</w:t>
      </w:r>
    </w:p>
    <w:p>
      <w:pPr>
        <w:pStyle w:val="ListBullet"/>
      </w:pPr>
      <w:r>
        <w:t>State allowlist includes BR only unless separately approved.</w:t>
      </w:r>
    </w:p>
    <w:p>
      <w:pPr>
        <w:pStyle w:val="ListBullet"/>
      </w:pPr>
      <w:r>
        <w:t>Allowed browser origins configured only if browser CORS access is required.</w:t>
      </w:r>
    </w:p>
    <w:p>
      <w:pPr>
        <w:pStyle w:val="ListBullet"/>
      </w:pPr>
      <w:r>
        <w:t>Dedicated API key provisioned and stored in a secret manager/environment variable.</w:t>
      </w:r>
    </w:p>
    <w:p>
      <w:pPr>
        <w:pStyle w:val="ListBullet"/>
      </w:pPr>
      <w:r>
        <w:t>GET /health returns 200.</w:t>
      </w:r>
    </w:p>
    <w:p>
      <w:pPr>
        <w:pStyle w:val="ListBullet"/>
      </w:pPr>
      <w:r>
        <w:t>GET /categories returns the expected Bihar catalogue.</w:t>
      </w:r>
    </w:p>
    <w:p>
      <w:pPr>
        <w:pStyle w:val="ListBullet"/>
      </w:pPr>
      <w:r>
        <w:t>POST /calculate succeeds for at least one agreed golden example.</w:t>
      </w:r>
    </w:p>
    <w:p>
      <w:pPr>
        <w:pStyle w:val="ListBullet"/>
      </w:pPr>
      <w:r>
        <w:t>Client reads final_payable.payable_complete and does not label estimates as exact bills when false.</w:t>
      </w:r>
    </w:p>
    <w:p>
      <w:pPr>
        <w:pStyle w:val="ListBullet"/>
      </w:pPr>
      <w:r>
        <w:t>Client handles 401/403/422/429/503 correctly.</w:t>
      </w:r>
    </w:p>
    <w:p>
      <w:pPr>
        <w:pStyle w:val="ListBullet"/>
      </w:pPr>
      <w:r>
        <w:t>Client records request_id for support diagnostics.</w:t>
      </w:r>
    </w:p>
    <w:p>
      <w:pPr>
        <w:pStyle w:val="ListBullet"/>
      </w:pPr>
      <w:r>
        <w:t>Pilot traffic reviewed before production conversion.</w:t>
      </w:r>
    </w:p>
    <w:p>
      <w:pPr>
        <w:pStyle w:val="Heading1"/>
      </w:pPr>
      <w:r>
        <w:t>8. Pilot acceptance test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  <w:shd w:fill="D9EAF7"/>
          </w:tcPr>
          <w:p>
            <w:r/>
            <w:r>
              <w:rPr>
                <w:b/>
                <w:sz w:val="17"/>
              </w:rPr>
              <w:t>Test</w:t>
            </w:r>
          </w:p>
        </w:tc>
        <w:tc>
          <w:tcPr>
            <w:tcW w:type="dxa" w:w="3408"/>
            <w:shd w:fill="D9EAF7"/>
          </w:tcPr>
          <w:p>
            <w:r/>
            <w:r>
              <w:rPr>
                <w:b/>
                <w:sz w:val="17"/>
              </w:rPr>
              <w:t>Pass condition</w:t>
            </w:r>
          </w:p>
        </w:tc>
        <w:tc>
          <w:tcPr>
            <w:tcW w:type="dxa" w:w="3408"/>
            <w:shd w:fill="D9EAF7"/>
          </w:tcPr>
          <w:p>
            <w:r/>
            <w:r>
              <w:rPr>
                <w:b/>
                <w:sz w:val="17"/>
              </w:rPr>
              <w:t>Client sign-off</w:t>
            </w:r>
          </w:p>
        </w:tc>
      </w:tr>
      <w:tr>
        <w:tc>
          <w:tcPr>
            <w:tcW w:type="dxa" w:w="3408"/>
          </w:tcPr>
          <w:p>
            <w:r/>
            <w:r>
              <w:rPr>
                <w:b w:val="0"/>
                <w:sz w:val="17"/>
              </w:rPr>
              <w:t>Authentication</w:t>
            </w:r>
          </w:p>
        </w:tc>
        <w:tc>
          <w:tcPr>
            <w:tcW w:type="dxa" w:w="3408"/>
          </w:tcPr>
          <w:p>
            <w:r/>
            <w:r>
              <w:rPr>
                <w:b w:val="0"/>
                <w:sz w:val="17"/>
              </w:rPr>
              <w:t>Valid key works; missing/invalid key fails</w:t>
            </w:r>
          </w:p>
        </w:tc>
        <w:tc>
          <w:tcPr>
            <w:tcW w:type="dxa" w:w="3408"/>
          </w:tcPr>
          <w:p>
            <w:r/>
            <w:r>
              <w:rPr>
                <w:b w:val="0"/>
                <w:sz w:val="17"/>
              </w:rPr>
              <w:t>☐ PASS</w:t>
            </w:r>
          </w:p>
        </w:tc>
      </w:tr>
      <w:tr>
        <w:tc>
          <w:tcPr>
            <w:tcW w:type="dxa" w:w="3408"/>
          </w:tcPr>
          <w:p>
            <w:r/>
            <w:r>
              <w:rPr>
                <w:b w:val="0"/>
                <w:sz w:val="17"/>
              </w:rPr>
              <w:t>Catalogue</w:t>
            </w:r>
          </w:p>
        </w:tc>
        <w:tc>
          <w:tcPr>
            <w:tcW w:type="dxa" w:w="3408"/>
          </w:tcPr>
          <w:p>
            <w:r/>
            <w:r>
              <w:rPr>
                <w:b w:val="0"/>
                <w:sz w:val="17"/>
              </w:rPr>
              <w:t>Bihar categories resolve consistently</w:t>
            </w:r>
          </w:p>
        </w:tc>
        <w:tc>
          <w:tcPr>
            <w:tcW w:type="dxa" w:w="3408"/>
          </w:tcPr>
          <w:p>
            <w:r/>
            <w:r>
              <w:rPr>
                <w:b w:val="0"/>
                <w:sz w:val="17"/>
              </w:rPr>
              <w:t>☐ PASS</w:t>
            </w:r>
          </w:p>
        </w:tc>
      </w:tr>
      <w:tr>
        <w:tc>
          <w:tcPr>
            <w:tcW w:type="dxa" w:w="3408"/>
          </w:tcPr>
          <w:p>
            <w:r/>
            <w:r>
              <w:rPr>
                <w:b w:val="0"/>
                <w:sz w:val="17"/>
              </w:rPr>
              <w:t>Calculation</w:t>
            </w:r>
          </w:p>
        </w:tc>
        <w:tc>
          <w:tcPr>
            <w:tcW w:type="dxa" w:w="3408"/>
          </w:tcPr>
          <w:p>
            <w:r/>
            <w:r>
              <w:rPr>
                <w:b w:val="0"/>
                <w:sz w:val="17"/>
              </w:rPr>
              <w:t>Agreed domestic test returns deterministic verified output</w:t>
            </w:r>
          </w:p>
        </w:tc>
        <w:tc>
          <w:tcPr>
            <w:tcW w:type="dxa" w:w="3408"/>
          </w:tcPr>
          <w:p>
            <w:r/>
            <w:r>
              <w:rPr>
                <w:b w:val="0"/>
                <w:sz w:val="17"/>
              </w:rPr>
              <w:t>☐ PASS</w:t>
            </w:r>
          </w:p>
        </w:tc>
      </w:tr>
      <w:tr>
        <w:tc>
          <w:tcPr>
            <w:tcW w:type="dxa" w:w="3408"/>
          </w:tcPr>
          <w:p>
            <w:r/>
            <w:r>
              <w:rPr>
                <w:b w:val="0"/>
                <w:sz w:val="17"/>
              </w:rPr>
              <w:t>Payable contract</w:t>
            </w:r>
          </w:p>
        </w:tc>
        <w:tc>
          <w:tcPr>
            <w:tcW w:type="dxa" w:w="3408"/>
          </w:tcPr>
          <w:p>
            <w:r/>
            <w:r>
              <w:rPr>
                <w:b w:val="0"/>
                <w:sz w:val="17"/>
              </w:rPr>
              <w:t>br.payable_composition.v1 is present</w:t>
            </w:r>
          </w:p>
        </w:tc>
        <w:tc>
          <w:tcPr>
            <w:tcW w:type="dxa" w:w="3408"/>
          </w:tcPr>
          <w:p>
            <w:r/>
            <w:r>
              <w:rPr>
                <w:b w:val="0"/>
                <w:sz w:val="17"/>
              </w:rPr>
              <w:t>☐ PASS</w:t>
            </w:r>
          </w:p>
        </w:tc>
      </w:tr>
      <w:tr>
        <w:tc>
          <w:tcPr>
            <w:tcW w:type="dxa" w:w="3408"/>
          </w:tcPr>
          <w:p>
            <w:r/>
            <w:r>
              <w:rPr>
                <w:b w:val="0"/>
                <w:sz w:val="17"/>
              </w:rPr>
              <w:t>Fail-closed behavior</w:t>
            </w:r>
          </w:p>
        </w:tc>
        <w:tc>
          <w:tcPr>
            <w:tcW w:type="dxa" w:w="3408"/>
          </w:tcPr>
          <w:p>
            <w:r/>
            <w:r>
              <w:rPr>
                <w:b w:val="0"/>
                <w:sz w:val="17"/>
              </w:rPr>
              <w:t>Duty/meter-rent blockers are explicit, not silently zeroed</w:t>
            </w:r>
          </w:p>
        </w:tc>
        <w:tc>
          <w:tcPr>
            <w:tcW w:type="dxa" w:w="3408"/>
          </w:tcPr>
          <w:p>
            <w:r/>
            <w:r>
              <w:rPr>
                <w:b w:val="0"/>
                <w:sz w:val="17"/>
              </w:rPr>
              <w:t>☐ PASS</w:t>
            </w:r>
          </w:p>
        </w:tc>
      </w:tr>
      <w:tr>
        <w:tc>
          <w:tcPr>
            <w:tcW w:type="dxa" w:w="3408"/>
          </w:tcPr>
          <w:p>
            <w:r/>
            <w:r>
              <w:rPr>
                <w:b w:val="0"/>
                <w:sz w:val="17"/>
              </w:rPr>
              <w:t>Rate limits</w:t>
            </w:r>
          </w:p>
        </w:tc>
        <w:tc>
          <w:tcPr>
            <w:tcW w:type="dxa" w:w="3408"/>
          </w:tcPr>
          <w:p>
            <w:r/>
            <w:r>
              <w:rPr>
                <w:b w:val="0"/>
                <w:sz w:val="17"/>
              </w:rPr>
              <w:t>Client respects 429 and Retry-After</w:t>
            </w:r>
          </w:p>
        </w:tc>
        <w:tc>
          <w:tcPr>
            <w:tcW w:type="dxa" w:w="3408"/>
          </w:tcPr>
          <w:p>
            <w:r/>
            <w:r>
              <w:rPr>
                <w:b w:val="0"/>
                <w:sz w:val="17"/>
              </w:rPr>
              <w:t>☐ PASS</w:t>
            </w:r>
          </w:p>
        </w:tc>
      </w:tr>
      <w:tr>
        <w:tc>
          <w:tcPr>
            <w:tcW w:type="dxa" w:w="3408"/>
          </w:tcPr>
          <w:p>
            <w:r/>
            <w:r>
              <w:rPr>
                <w:b w:val="0"/>
                <w:sz w:val="17"/>
              </w:rPr>
              <w:t>Security</w:t>
            </w:r>
          </w:p>
        </w:tc>
        <w:tc>
          <w:tcPr>
            <w:tcW w:type="dxa" w:w="3408"/>
          </w:tcPr>
          <w:p>
            <w:r/>
            <w:r>
              <w:rPr>
                <w:b w:val="0"/>
                <w:sz w:val="17"/>
              </w:rPr>
              <w:t>No API key appears in URLs, screenshots or public client code</w:t>
            </w:r>
          </w:p>
        </w:tc>
        <w:tc>
          <w:tcPr>
            <w:tcW w:type="dxa" w:w="3408"/>
          </w:tcPr>
          <w:p>
            <w:r/>
            <w:r>
              <w:rPr>
                <w:b w:val="0"/>
                <w:sz w:val="17"/>
              </w:rPr>
              <w:t>☐ PASS</w:t>
            </w:r>
          </w:p>
        </w:tc>
      </w:tr>
      <w:tr>
        <w:tc>
          <w:tcPr>
            <w:tcW w:type="dxa" w:w="3408"/>
          </w:tcPr>
          <w:p>
            <w:r/>
            <w:r>
              <w:rPr>
                <w:b w:val="0"/>
                <w:sz w:val="17"/>
              </w:rPr>
              <w:t>Traceability</w:t>
            </w:r>
          </w:p>
        </w:tc>
        <w:tc>
          <w:tcPr>
            <w:tcW w:type="dxa" w:w="3408"/>
          </w:tcPr>
          <w:p>
            <w:r/>
            <w:r>
              <w:rPr>
                <w:b w:val="0"/>
                <w:sz w:val="17"/>
              </w:rPr>
              <w:t>request_id retained for troubleshooting</w:t>
            </w:r>
          </w:p>
        </w:tc>
        <w:tc>
          <w:tcPr>
            <w:tcW w:type="dxa" w:w="3408"/>
          </w:tcPr>
          <w:p>
            <w:r/>
            <w:r>
              <w:rPr>
                <w:b w:val="0"/>
                <w:sz w:val="17"/>
              </w:rPr>
              <w:t>☐ PASS</w:t>
            </w:r>
          </w:p>
        </w:tc>
      </w:tr>
    </w:tbl>
    <w:p>
      <w:pPr>
        <w:pStyle w:val="Heading1"/>
      </w:pPr>
      <w:r>
        <w:t>9. Pilot commercial frame</w:t>
      </w:r>
    </w:p>
    <w:p>
      <w:r>
        <w:t>Recommended starting model: 7–14 day controlled pilot for one defined Bihar use case. Start with a small design-partner integration rather than a broad public rollout.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D9EAF7"/>
          </w:tcPr>
          <w:p>
            <w:r/>
            <w:r>
              <w:rPr>
                <w:b/>
                <w:sz w:val="17"/>
              </w:rPr>
              <w:t>Item</w:t>
            </w:r>
          </w:p>
        </w:tc>
        <w:tc>
          <w:tcPr>
            <w:tcW w:type="dxa" w:w="5112"/>
            <w:shd w:fill="D9EAF7"/>
          </w:tcPr>
          <w:p>
            <w:r/>
            <w:r>
              <w:rPr>
                <w:b/>
                <w:sz w:val="17"/>
              </w:rPr>
              <w:t>Pilot frame</w:t>
            </w:r>
          </w:p>
        </w:tc>
      </w:tr>
      <w:tr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Coverage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Bihar</w:t>
            </w:r>
          </w:p>
        </w:tc>
      </w:tr>
      <w:tr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Access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Dedicated production API key</w:t>
            </w:r>
          </w:p>
        </w:tc>
      </w:tr>
      <w:tr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Data tier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verified_strict</w:t>
            </w:r>
          </w:p>
        </w:tc>
      </w:tr>
      <w:tr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Support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Integration guidance and test validation</w:t>
            </w:r>
          </w:p>
        </w:tc>
      </w:tr>
      <w:tr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Suggested pilot traffic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Up to 5,000 requests/week unless a different plan is assigned</w:t>
            </w:r>
          </w:p>
        </w:tc>
      </w:tr>
      <w:tr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Conversion</w:t>
            </w:r>
          </w:p>
        </w:tc>
        <w:tc>
          <w:tcPr>
            <w:tcW w:type="dxa" w:w="5112"/>
          </w:tcPr>
          <w:p>
            <w:r/>
            <w:r>
              <w:rPr>
                <w:b w:val="0"/>
                <w:sz w:val="17"/>
              </w:rPr>
              <w:t>Production plan after successful integration and usage review</w:t>
            </w:r>
          </w:p>
        </w:tc>
      </w:tr>
    </w:tbl>
    <w:p>
      <w:pPr>
        <w:pStyle w:val="Heading1"/>
      </w:pPr>
      <w:r>
        <w:t>10. Public integration resources</w:t>
      </w:r>
    </w:p>
    <w:p>
      <w:r>
        <w:t>API portal: https://powerexpertindia.com/api/</w:t>
      </w:r>
    </w:p>
    <w:p>
      <w:r>
        <w:t>Versioned docs: https://powerexpertindia.com/v1/docs.php</w:t>
      </w:r>
    </w:p>
    <w:p>
      <w:r>
        <w:t>OpenAPI: https://powerexpertindia.com/v1/openapi.json</w:t>
      </w:r>
    </w:p>
    <w:p/>
    <w:p>
      <w:r>
        <w:rPr>
          <w:b/>
        </w:rPr>
        <w:t xml:space="preserve">Release lock (9 Aug 2026): </w:t>
      </w:r>
      <w:r>
        <w:t>PEI Verified Tariff API V1.2.0 • Controller V2.2.14 • Regression Runner V1.2.9 • Payable Contract br.payable_composition.v1.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Power Expert India • Bihar API Client Handover Pack V2.0.0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">
    <w:name w:val="Code"/>
    <w:pPr>
      <w:spacing w:after="80"/>
      <w:ind w:left="259" w:right="259"/>
    </w:pPr>
    <w:rPr>
      <w:rFonts w:ascii="Liberation Mono" w:hAnsi="Liberation Mono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